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23 139 vom 4. August 2025</w:t>
      </w:r>
    </w:p>
    <w:p>
      <w:r>
        <w:t>VS Kantonsgericht, 2025-08-04, FR</w:t>
      </w:r>
    </w:p>
    <w:p>
      <w:r>
        <w:rPr>
          <w:b/>
        </w:rPr>
        <w:t xml:space="preserve">Quelle: </w:t>
      </w:r>
      <w:r>
        <w:t>https://mcp.opencaselaw.ch/entscheid/vs_gerichte_S1 23 139</w:t>
      </w:r>
    </w:p>
    <w:p>
      <w:r>
        <w:t>FR: VS_GERICHTE S1 23 139 du 4 août 2025</w:t>
      </w:r>
    </w:p>
    <w:p>
      <w:r>
        <w:t>IT: VS_GERICHTE S1 23 139 del 4 agosto 2025</w:t>
      </w:r>
    </w:p>
    <w:p>
      <w:pPr>
        <w:pStyle w:val="Heading2"/>
      </w:pPr>
      <w:r>
        <w:t>Regeste</w:t>
      </w:r>
    </w:p>
    <w:p>
      <w:r>
        <w:t>S1 23 139 ARRÊT DU 4 AOÛT 2025 Tribunal cantonal du Valais Cour des assurances sociales Composition : Candido Prada, président ; Christophe Joris et Dr. Thierry Schnyder, juges ; Anaïs Mottiez, greffière en la cause X _________, recourante, représentée par Maître Pierre Ventura, avocat, Lausanne contre OFFICE CANTONAL AI DU VALAIS, intimé (art. 28 LAI ; rente d’invalidité ; valeur probante d’une expertise pluridisciplinaire ; enquête ménagère ; revenu d’invalidité et abattement)</w:t>
      </w:r>
    </w:p>
    <w:p>
      <w:pPr>
        <w:pStyle w:val="Heading2"/>
      </w:pPr>
      <w:r>
        <w:t>Erwägungen</w:t>
      </w:r>
    </w:p>
    <w:p>
      <w:r>
        <w:rPr>
          <w:b/>
        </w:rPr>
        <w:t>E. 1.1</w:t>
      </w:r>
    </w:p>
    <w:p>
      <w:r>
        <w:t>Selon l'article 1 alinéa 1 LAI, les dispositions de la LPGA s'appliquent à l'AI (art. 1a à 26bis et 28 à 70), à moins que la LAI n'y déroge expressément. Posté le 15 septembre 2023, le présent recours à l’encontre de la décision du 17 août précédent a été interjeté dans le délai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de la date de la demande de prestations AI et des faits déterminants pour le refus de la rente, c’est l’ancien droit qui reste applicable en l’espèce.</w:t>
      </w:r>
    </w:p>
    <w:p>
      <w:r>
        <w:rPr>
          <w:b/>
        </w:rPr>
        <w:t>E. 2</w:t>
      </w:r>
    </w:p>
    <w:p>
      <w:r>
        <w:t>Le litige porte uniquement sur le refus de l’OAI d’octroyer une rente d’invalidité à la recourante. La conclusion subsidiaire tendant à l’octroi de mesures d’ordre professionnel doit quant à elle être déclarée irrecevable, dès lors que la décision y relative n’a été ni contestée, ni annexée au présent recours et que ce dernier ne contient aucune motivation à ce propos.</w:t>
      </w:r>
    </w:p>
    <w:p>
      <w:r>
        <w:rPr>
          <w:b/>
        </w:rPr>
        <w:t>E. 3.1</w:t>
      </w:r>
    </w:p>
    <w:p>
      <w:r>
        <w:t>Dans un grief d’ordre formel qu’il convient d’examiner en premier lieu, la recourante se plaint d’une violation de son droit d’être entendue en lien avec une constatation inexacte des faits, dans la mesure où l’intimé a écarté ses demandes de mise en œuvre d’une expertise gastro-entérologique ainsi que d’une nouvelle expertise pluridisciplinaire.</w:t>
      </w:r>
    </w:p>
    <w:p>
      <w:r>
        <w:rPr>
          <w:b/>
        </w:rPr>
        <w:t>E. 3.2</w:t>
      </w:r>
    </w:p>
    <w:p>
      <w:r>
        <w:t>Selon la jurisprudence, le droit d’être entendu est garanti par les articles 29 alinéa 2 Cst et 42 LPGA. Elle en a déduit, en particulier, le droit pour le justiciable de s'expliquer avant qu'une décision soit prise à son détriment, celui de fournir des preuves quant aux</w:t>
      </w:r>
    </w:p>
    <w:p>
      <w:r>
        <w:t>- 9 - faits de nature à influer sur le sort de la décision, celui d'avoir accès au dossier, celui de participer à l'administration des preuves, d'en prendre connaissance et de se déterminer à leur propos (ATF 132 V 368 consid. 3.1 p. 370 s. et les références ; ATF 126 I 16 consid. 2a/aa ; 124 V 181 consid. 1a et 375 consid. 3b). Le droit d’être entendu peut être exercé à tout moment par les parties, qui peuvent notamment exiger en tout temps la consultation du dossier et faire valoir leur point de vue en cours d’instruction déjà (DUPONT, in : DUPONT/MOSER-SZELESS, Loi sur la partie générale des assurances sociales, Commentaire romand, Bâle 2018, N 10 ad art. 42 LPGA). Le droit d’être entendu n’entraîne toutefois pas, pour les parties, la garantie de pouvoir être entendues de manière illimitée dans le temps, ni de pouvoir obtenir l’administration de toutes les preuves qu’elles désirent. L’assureur social est en effet fondé à apprécier de manière anticipée les preuves d’ores et déjà réunies et, sous réserve d’une décision arbitraire, d’estimer que les nouveaux éléments requis ne sont pas de nature à influencer sa décision (DUPONT, op. cit., N 11 ad art. 42 LPGA). S'agissant plus particulièrement du devoir pour l'autorité de motiver sa décision (cf. les art. 35 PA, 42 LPGA, 52 al. 2 LPGA et 29 al. 2 Cst), le but est que le destinataire puisse la comprendre et l'attaquer utilement s'il y a lieu, et que l'autorité de recours puisse exercer son contrôle. Pour répondre à ces exigences, l’autorité doit mentionner, au moins brièvement, les motifs qui l'ont guidé et sur lesquels il a fondé sa décision, de manière à ce que l'intéressé puisse se rendre compte de la portée de celle-ci et l'attaquer en connaissance de cause (arrêt du Tribunal administratif fédéral C-6050/2012 du 9 décembre 2013 consid. 8.2 ; ATF 133 III 439 consid. 3.3 ; arrêt du Tribunal fédéral 1C_499/2011 du 19 juin 2013 consid. 3.1). Il n'y a violation du droit d'être entendu que si l'autorité ne satisfait pas à son devoir minimum d'examiner les problèmes pertinents (arrêt du Tribunal fédéral 8C_934/2010 du 8 novembre 2011 consid. 3.2). L'administration n'a pas obligatoirement à prendre position sur tous les faits, moyens de preuve et griefs invoqués par les parties, mais elle peut au contraire se limiter à ceux qui, sans arbitraire, lui paraissent pertinents (ATF 137 II 266 consid. 3.2 ; 134 I 83 consid. 4.1 ; arrêt du Tribunal fédéral 9C_499/2013 du 20 février 2014 consid. 4.2). Enfin, si le droit d'être entendu est une garantie constitutionnelle de caractère formel, dont la violation doit en principe entraîner l'annulation de la décision attaquée indépendamment des chances de succès du recourant sur le fond (ATF 127 V 431 consid. 3d/aa), le Tribunal fédéral admet toutefois que cette violation peut être réparée, pour autant qu'elle ne soit pas d'une gravité particulière ou ne relève pas d'une pratique courante et que l'assuré ait la possibilité de faire valoir ses arguments devant une</w:t>
      </w:r>
    </w:p>
    <w:p>
      <w:r>
        <w:t>- 10 - instance disposant des pleins pouvoirs d'examen (DESPLAND, L'obligation de diminuer le dommage en cas d'atteinte à la santé, Genève/Zurich/Bâle 2012, ch. 2.5.2, p. 154 et les réf. cit.).</w:t>
      </w:r>
    </w:p>
    <w:p>
      <w:r>
        <w:rPr>
          <w:b/>
        </w:rPr>
        <w:t>E. 3.3</w:t>
      </w:r>
    </w:p>
    <w:p>
      <w:r>
        <w:t>En l’occurrence, la recourante estime que l’intimé a violé son droit d’être entendue en refusant de mettre en œuvre une expertise gastro-entérologique ainsi qu’une nouvelle expertise pluridisciplinaire, tel que requis comme moyens de preuve dans ses objections du 15 juin 2023 dans le but de poser un diagnostic clair et complet ainsi que d’évaluer sa capacité de travail résiduelle. Une telle argumentation ne saurait être suivie. En effet, on rappellera tout d’abord que ce n’est pas tant le diagnostic en lui-même qui est déterminant au premier chef dans le cadre de l’assurance-invalidité, mais l’influence d’une atteinte à la santé sur la capacité de travail (ATF 142 V 106 consid. 4.4). Ensuite, comme cela a été rappelé ci-dessus (cf. supra consid. 3.2), le droit d’être entendu n’entraîne pas, pour les parties, la garantie de pouvoir être entendues de manière illimitée dans le temps, ni de pouvoir obtenir l’administration de toutes les preuves qu’elles désirent. Cela vaut d’autant plus qu’in casu, l’intimé avait déjà mis en œuvre une expertise pluridisciplinaire qui, comme cela sera développé ci-dessous (cf. infra consid. 4.7), présente une pleine valeur probante, de sorte que l’OAI était fondé, par appréciation anticipée des preuves, à refuser la réalisation d’une nouvelle expertise. Par ailleurs, la Cour constate d’une part que la motivation de la décision entreprise permet de comprendre pour quelles raisons l’intimé n’a pas donné suite à la demande de mise en œuvre d’une expertise gastro-entérologique ainsi que d’une nouvelle expertise pluridisiciplinaire formulée par l’intéressée, soit parce que l’expertise déjà diligentée remplissait les réquisits jurisprudentiels permettant de lui reconnaître une pleine valeur probante et que la situation médicale de l’assurée était claire et établie à satisfaction de droit, et d’autre part que la recourante a été en mesure d’attaquer utilement cette décision auprès de la Cour de céans. Ainsi, même à supposer qu’une violation du droit d'être entendu en relation avec le défaut de motivation puisse être retenue, elle ne serait cependant pas d'une gravité telle qu'elle ne puisse être réparée compte tenu du fait que la Cour de céans jouit d'un plein pouvoir d'examen. Partant, le grief de la violation du droit d’être entendu invoqué par la recourante est impropre à entraîner l'annulation de la décision entreprise.</w:t>
      </w:r>
    </w:p>
    <w:p>
      <w:r>
        <w:rPr>
          <w:b/>
        </w:rPr>
        <w:t>E. 4.1</w:t>
      </w:r>
    </w:p>
    <w:p>
      <w:r>
        <w:t>Sur le fond, le litige porte sur la question de savoir si c’est à bon droit que l’OAI a refusé d’octroyer une rente d’invalidité à la recourante. Dans un premier grief, cette</w:t>
      </w:r>
    </w:p>
    <w:p>
      <w:r>
        <w:t>- 11 - dernière conteste la valeur probante du rapport d’expertise pluridisciplinaire du 23 mars 2023 ainsi que celle du rapport final SMR du 19 avril suivant, sur lesquels l’intimé a fondé sa décision de refus.</w:t>
      </w:r>
    </w:p>
    <w:p>
      <w:r>
        <w:rPr>
          <w:b/>
        </w:rPr>
        <w:t>E. 4.2</w:t>
      </w:r>
    </w:p>
    <w:p>
      <w:r>
        <w:t>Est réputée invalidité, l’incapacité de gain totale ou partielle présumée permanente ou de longue durée, résultant d’une infirmité congénitale, d’une maladie ou d’un accident (art. 8 al. 1 LPGA et 4 al. 1 LAI). En vertu de l’article 28 alinéa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au moins (let. c). Il peut en outre prétendre à une mesure de reclassement s’il est invalide à 20 % environ (ATF 139 V 399 consid. 5.3, 130 V 488 consid. 4.2 et 124 V 108 consid. 2b).</w:t>
      </w:r>
    </w:p>
    <w:p>
      <w:r>
        <w:rPr>
          <w:b/>
        </w:rPr>
        <w:t>E. 4.3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w:t>
      </w:r>
    </w:p>
    <w:p>
      <w:r>
        <w:t>- 12 -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4.3.1</w:t>
      </w:r>
    </w:p>
    <w:p>
      <w:r>
        <w:t>et 131 V 242 consid.2.1). Le juge doit cependant prendre en compte les faits survenus postérieurement dans la mesure où ils sont étroitement liés à l'objet du litige et</w:t>
      </w:r>
    </w:p>
    <w:p>
      <w:r>
        <w:t>- 14 -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rPr>
          <w:b/>
        </w:rPr>
        <w:t>E. 4.4</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125 V 256 ; 115 V 133 consid. 2 ; 114 V 310 consid. 3c et 105 V 156 consid. 1 ; arrêt du Tribunal fédéral 8C_761/2014 du 15 octobre 2015 consid. 3.4).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(arrêts du Tribunal fédéral 9C_670/2020 du 28 juillet 2020 consid. 3.2 et 9C_518/2007 du 14 juillet 2008 consid. 3.2).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une telle 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w:t>
      </w:r>
    </w:p>
    <w:p>
      <w:r>
        <w:t>- 13 - sujet du caractère fiable et fondé des conclusions médicales internes à l'assurance, il est alors nécessaire de procéder à des éclaircissements complémentaires (ATF 135 V 465 consid. 4.4).</w:t>
      </w:r>
    </w:p>
    <w:p>
      <w:r>
        <w:rPr>
          <w:b/>
        </w:rPr>
        <w:t>E. 4.5</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justifier d’en faire abstraction (arrêt du Tribunal fédéral 9C_973/2011 du 4 mai 2012 consid. 3.2.1).</w:t>
      </w:r>
    </w:p>
    <w:p>
      <w:r>
        <w:rPr>
          <w:b/>
        </w:rPr>
        <w:t>E. 4.6</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w:t>
      </w:r>
    </w:p>
    <w:p>
      <w:r>
        <w:rPr>
          <w:b/>
        </w:rPr>
        <w:t>E. 4.7</w:t>
      </w:r>
    </w:p>
    <w:p>
      <w:r>
        <w:t>En l’espèce, l’OAI s’est fondé sur l’avis de son SMR (Dresse I _________), lui-même se basant sur le rapport d’expertise pluridisciplinaire du Dr J _________, spécialiste FMH en neurologie, de la Dresse K _________, spécialiste FMH en médecine interne générale et rhumatologie, de la Dresse L _________, spécialiste FMH en psychiatrie et psychothérapie, et de la Dresse M _________, spécialiste FMH en médecine interne générale, pour retenir que la recourante disposait d’une capacité de travail fonctionnelle de 80% dès le mois de décembre 2020 dans une activité adaptée (position de travail alternée, port de charges limité à 5 kg, pas de travaux lourds, marche limitée, pas de mouvements en porte-à-faux du dos, pas de position statique immobile au-delà d’une heure) correspondant aux activités habituelles de l’intéressée à l’exception du service traiteur et de la livraison de catalogue à domicile. Cette dernière considère quant à elle que cette expertise est dénuée de valeur probante dès lors que les experts n’auraient pas été en mesure de poser un diagnostic clair et complet et auraient constaté les faits de manière inexacte, en ignorant notamment les vertiges dont elle souffrait. La recourante estime en outre qu’une expertise gastro-entérologique aurait dû être mise en œuvre et a transmis des rapports du Dr Q _________, spécialiste en gastro-entérologie, de la Dresse R_________, spécialiste FMH en médecine interne générale, diabétologie et endocrinologie, et de son médecin traitant, le Dr A _________, relevant notamment l’existence d’une hypothyroïdie, diagnostiquée en octobre 2023, sur une maladie de Hashimoto, desquels elle conclut que sa situation n’était pas stabilisée lors de la réalisation de l’expertise susmentionnée.</w:t>
      </w:r>
    </w:p>
    <w:p>
      <w:r>
        <w:rPr>
          <w:b/>
        </w:rPr>
        <w:t>E. 4.7.1</w:t>
      </w:r>
    </w:p>
    <w:p>
      <w:r>
        <w:t>A titre liminaire, la Cour relève que les rapports des Drs A _________, R _________ et Q _________ posant le diagnostic nouveau d’hypothyroïdie sur une maladie de Hashimoto et relevant l’existence d’un emphysème en attente d’une prise en charge spécialisée, sont datés respectivement du 29 janvier 2024, du 31 janvier 2024 et du 29 février suivant, soit des dates postérieures à la décision litigieuse, et concernent des pathologies apparues en octobre 2023, soit également après le prononcé de la décision contestée. Partant, comme cela a été rappelé ci-dessus (cf. supra consid. 4.6), ils n’ont pas à être pris en considération dans la présente procédure. Cela étant, il est indiqué à l’intéressée qu’il lui est loisible de déposer une nouvelle demande de</w:t>
      </w:r>
    </w:p>
    <w:p>
      <w:r>
        <w:t>- 15 - prestations si les atteintes alléguées devaient mener à une incapacité de travail de longue durée attestée médicalement.</w:t>
      </w:r>
    </w:p>
    <w:p>
      <w:r>
        <w:rPr>
          <w:b/>
        </w:rPr>
        <w:t>E. 4.7.2</w:t>
      </w:r>
    </w:p>
    <w:p>
      <w:r>
        <w:t>Sur le vu des pièces médicales au dossier, force est ensuite de constater que la recourante ne saurait être suivie dans son argumentation. En effet, la lecture du rapport d’expertise pluridisciplinaire des Drs J _________, K _________, L _________ et M _________ du 23 mars 2023 permet de retenir que celle-ci répond entièrement aux conditions jurisprudentielles pour lui reconnaître une pleine valeur probante. En particulier, chaque expert a repris les différents avis médicaux relatifs à sa spécialité, en sus des avis « généraux » relevés dans l’évaluation consensuelle, puis a établi une anamnèse précise, avant de décrire de manière détaillée les plaintes de la recourante ainsi que, s’agissant de la Dresse L _________, sa journée type. Chaque expert a ensuite procédé à un examen clinique complet permettant d’arrêter un diagnostic sur la base de constatations objectives, étant précisé que, sur le plan psychiatrique, la Dresse L _________ a procédé à son examen dans le respect de la procédure structurée telle que rappelée ci-dessus (cf. supra consid. 4.3). Ainsi, sur les plans neurologique et psychiatrique aucun diagnostic n’a été retenu, alors que, sur le plan rhumatismal, les diagnostics incapacitants de spondylo-arthrite axiale HLA-B27 négative (M45) et de fibromyalgie (M79.70) ont été posés. Enfin, les experts ont procédé à une évaluation consensuelle, à l’issue de laquelle ils ont énoncé, de manière motivée et cohérente, leurs conclusions, à savoir que la capacité de travail de la recourante était nulle dans les activités exercées de service traiteur et de livraison de catalogues à domicile depuis le mois de décembre 2020, mais que dans une activité légère respectant les limitations fonctionnelles, elle était entière avec une baisse de rendement de maximum 20%. Il est au surplus précisé que, contrairement à ce que soutient la recourante, la symptomatologie vertigineuse a bien été prise en considération par le Dr J _________, de même que par les autres experts dans l’évaluation consensuelle, à l’issue de laquelle seul le diagnostic non incapacitant de sensation vertigineuse sans substrat anatomique (vertige fonctionnel) a été retenu (cf. rapport d’expertise du 23 mars 2023, pièce OAI 69, p. 214 ss). Sur le plan gastro-entérologique, la Cour constate que le Dr E _________, spécialiste en gastro-entérologie suivant l’intéressée, a posé, dans un rapport reçu par l’OAI le 19 octobre 2021, les diagnostics d’achalasie de type III ainsi que de sténose œsophagienne et estimé que la capacité de travail de sa patiente était inférieure à 50%, mais qu’elle pourrait augmenter à 80% moyennant un soutien nutritionnel et une bonne évolution de la dysphagie. Dans un courriel du 23 mai 2022, le Dr E _________ a</w:t>
      </w:r>
    </w:p>
    <w:p>
      <w:r>
        <w:t>- 16 - observé une évolution très favorable de l’était clinique de l’assurée, avec un régime alimentaire normal et un poids stable, et retenu qu’il n’existait pas de limitations fonctionnelles en lien avec l’atteinte digestive, la dysphagie étant intermittente, et que la capacité de travail n’était pas réduite pour des raisons digestives. Aucun autre avis spécialisé en gastro-entérologie, en particulier aucun avis contraire à celui du Dr E _________, ne figure au dossier. Il découle de ce qui précède que non seulement la situation gastroentérologique n’était pas litigieuse, de sorte que l’OAI n’était pas tenue de mettre en œuvre une expertise dans ce domaine, mais surtout que les conclusions du Dr E _________ sont compatibles avec celles des experts, dont l’avis bénéficie d’une pleine valeur probante comme cela a été développé ci-dessus. S’agissant enfin des rapports du 23 mai 2023 du Dr O _________, du 30 mai 2023 de la physiothérapeute P _________ ainsi que du 15 septembre 2023 du Dr A _________, ils ne sont d’aucun secours la recourante. La Cour constate en effet que ces documents ne font que lister des diagnostics et plaintes de l’intéressée, dont la plupart ont été retenus par les experts, sans toutefois se déterminer sur le rapport d’expertise pluridisciplinaire du 23 mars 2023 ni expliquer pour quelles raisons ils devraient prévaloir sur les conclusions motivées des experts. Partant, ces avis ne sauraient suffire à mettre en doute la valeur probante du rapport d’expertise du 23 mars 2023. Ainsi, dès lors que l’appréciation des Drs J _________, K _________, L _________ et M _________ repose sur une évaluation médicale complète et approfondie et que la recourante ne fait pas état d’éléments objectivement vérifiables qui auraient été ignorés dans le cadre de l’expertise ou suffisamment pertinents pour en mettre en doute les conclusions, dite appréciation ne saurait être remise en cause au motif que l’assurée a une opinion divergente de celle des experts. Dans ces circonstances, il appert que le rapport d’expertise du 23 mars 2023, de même que le rapport final SMR du 19 avril suivant confirmant les conclusions des experts, bénéficient d’une pleine valeur probante et que les différents avis médicaux au dossier permettaient à l’intimé de porter un jugement valable sur le présent cas, sans qu’il se justifie de donner suite aux moyens de preuve requis par la recourante sur le plan médical, à savoir la mise en œuvre d’une expertise gastro-entérologique ainsi que d’une nouvelle expertise pluridisciplinaire (sur l’appréciation anticipée des preuves : ATF 145 I 167 consid. 4.1).</w:t>
      </w:r>
    </w:p>
    <w:p>
      <w:r>
        <w:rPr>
          <w:b/>
        </w:rPr>
        <w:t>E. 4.7.3</w:t>
      </w:r>
    </w:p>
    <w:p>
      <w:r>
        <w:t>Mal fondé, ce grief est rejeté.</w:t>
      </w:r>
    </w:p>
    <w:p>
      <w:r>
        <w:t>- 17 -</w:t>
      </w:r>
    </w:p>
    <w:p>
      <w:r>
        <w:rPr>
          <w:b/>
        </w:rPr>
        <w:t>E. 5.1</w:t>
      </w:r>
    </w:p>
    <w:p>
      <w:r>
        <w:t>Dans un deuxième grief, la recourante conteste le contenu du rapport d’enquête pour ménagères et mixtes du 18 juin 2021 et estime que ce dernier, réalisé deux ans avant le prononcé de la décision litigieuse, ne reflèterait pas sa situation au moment de dite décision.</w:t>
      </w:r>
    </w:p>
    <w:p>
      <w:r>
        <w:rPr>
          <w:b/>
        </w:rPr>
        <w:t>E. 5.2</w:t>
      </w:r>
    </w:p>
    <w:p>
      <w:r>
        <w:t>Chez les assurées qui n’exercent que partiellement une activité lucrative et se consacrent pour l’autre part à d’autres activités (travaux habituels) ou tâches ménagères, l’invalidité est fixée selon la méthode dite mixte d'évaluation (art. 28a al. 3 LAI). Il faut ainsi déterminer, d'une part, l'invalidité dans les travaux habituels (ménage) par comparaison des activités et, d'autre part, l'invalidité dans une activité lucrative par comparaison des revenus. On pourra alors arrêter l'invalidité globale d'après le temps consacré à ces deux champs d'activités. L'article 27bis alinéas 2 à 4 RAI prévoit que, pour les personnes qui exercent une activité lucrative à temps partiel et accomplissent par ailleurs des travaux habituels visés à l'article 7 alinéa 2 de la loi, le taux d'invalidité est déterminé par l'addition du taux d'invalidité en lien avec l'activité lucrative avec le taux d'invalidité en lien avec les travaux habituels (al. 2). Le calcul du taux d'invalidité en lien avec l'activité lucrative est régi par l'article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l'alinéa 3 lettre b et une activité lucrative exercée à plein temps (al. 4).</w:t>
      </w:r>
    </w:p>
    <w:p>
      <w:r>
        <w:rPr>
          <w:b/>
        </w:rPr>
        <w:t>E. 5.3</w:t>
      </w:r>
    </w:p>
    <w:p>
      <w:r>
        <w:t>Lorsqu’un assuré qui exerce une activité lucrative à temps partiel dépose une demande de prestations, l’OAI procède en principe à une enquête sur place pour recueillir différentes informations et apporter des renseignements à l’assuré (Circulaire sur l’invalidité et l’impotence dans l’assurance-invalidité - CIIAI, ch. 1058 ; Circulaire sur la procédure dans l’assurance-invalidité - CPAI, ch. 3041).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w:t>
      </w:r>
    </w:p>
    <w:p>
      <w:r>
        <w:t>- 18 - et examinera si la personne doit éventuellement consacrer plus de temps que d'ordinaire à l'accomplissement de ces travaux. Elle doit également fournir des informations concernant l'aide apportée à la personne assurée par des tiers (par ex. parents, voisins, aides extérieures) dans l'accomplissement de ses activités (OFAS, CIIAI, ch. 3090 ss). De manière analogue à la jurisprudence sur la force probante des certificats médicaux (ATF 125 V 351 consid. 3a), divers facteurs doivent être pris en considération pour déterminer la valeur probante d’un rapport d’enquête sur place : il est essentiel que le rapport ait été établi par une personne qualifiée ayant une connaissance de la situation locale et des atteintes et handicaps résultant des diagnostics médicaux. En outre, il s’agit de tenir compte des indications de l’assuré et d’inscrire dans le rapport les opinions divergentes des participants. Enfin, le texte du rapport doit être détaillé de manière plausible, fondée et adéquate en ce qui concerne les diverses limitations et doit correspondre aux indications relevées sur place. Si toutes ces conditions sont réunies, le rapport d’enquête a pleinement valeur de preuve. Lorsque le rapport constitue une base fiable de décision dans le sens défini ci-dessus, le juge ne s’interpose pas dans l’appréciation de l’auteur du rapport, sauf lorsqu’il existe des erreurs d’estimation que l’on peut clairement constater ou des indices laissant apparaître une inexactitude dans les résultats de l’enquête (par exemple en raison de contradictions). Ce principe est dû notamment au fait que le professionnel ayant mené l’enquête est plus proche de la situation concrète des faits que ne l’est le tribunal compétent en cas de recours (VSI 2003 p. 218 consid. 2.3.2, ATF 128 V 93 consid. 4 et les références). Selon la jurisprudence, il ne s’impose de recourir à un médecin, afin qu’il s’exprime sur les différentes activités ménagères du point de vue de l’exigibilité, que dans les cas exceptionnels, en particulier en présence d’indications peu vraisemblables de la personne assurée, dont l’atteinte est d’ordre psychique, qui sont contredites par les constatations médicales. En principe, le rapport d’enquête ménagère constitue toutefois aussi une base ayant une pleine valeur probante lorsque l’atteinte de la personne assurée est d’ordre psychique (arrêts du Tribunal fédéral 9C_201/2011 du 5 septembre 2011 consid. 2 et I 246/05 du 30 octobre 2007 consid. 5.2.1).</w:t>
      </w:r>
    </w:p>
    <w:p>
      <w:r>
        <w:rPr>
          <w:b/>
        </w:rPr>
        <w:t>E. 5.4</w:t>
      </w:r>
    </w:p>
    <w:p>
      <w:r>
        <w:t>Pour satisfaire à l'obligation de réduire le dommage,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w:t>
      </w:r>
    </w:p>
    <w:p>
      <w:r>
        <w:t>- 19 -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Dans le cadre de l'évaluation de l'invalidité dans les travaux habituels, l'aide des membres de la famille (en particulier celle des enfants) va au-delà de ce qu'on peut attendre de ceux-ci, si la personne assurée n'est pas atteinte dans sa santé. Il y a lieu en effet de se demander quelle attitude adopterait une famille raisonnable, dans la même situation et les mêmes circonstances, si elle devait s'attendre à ne recevoir aucune prestation d'assurance (arrêts du Tribunal fédéral des assurances I 308/04 et I 309/04 du 14 janvier 2005 consid. 6.2.2 et les références, ATF 130 V 97 consid. 3.3.3).</w:t>
      </w:r>
    </w:p>
    <w:p>
      <w:r>
        <w:rPr>
          <w:b/>
        </w:rPr>
        <w:t>E. 5.5</w:t>
      </w:r>
    </w:p>
    <w:p>
      <w:r>
        <w:t>En l’occurrence, il n’est pas contesté que, sans atteinte à la santé, la recourante consacrerait 80% de son temps à l’exercice d’une activité lucrative, tandis que le solde de 20% serait dédié à son activité ménagère. En revanche, l’assurée critique le taux d’invalidité ménagère de 26,81% retenu par l’intimé, ainsi que la réduction de 30% à titre d’obligation de réduire le dommage appliquée à ce taux, motif pris que l’enquête ménagère, réalisée deux ans avant le prononcé de la décision litigieuse, ne tiendrait pas compte de l’ensemble de ses diagnostics et limitations fonctionnelles, et qu’aucune participation aux tâches ménagères ne devrait être requise des membres de sa famille, dans la mesure où son mari travaille à plein temps, où sa fille ne fait plus partie du ménage et où son fils est trop jeune. La recourante ne saurait être suivie dans son argumentation. En premier lieu, elle n’apporte aucune preuve susceptible de mettre en doute les constatations de l’enquêteur quant aux empêchements rencontrés dans l’exécution des tâches ménagères. En particulier, sur le plan médical, la Cour constate que – contrairement à ce que soutient la recourante – les diagnostics retenus par les experts, dont le rapport du 23 mars 2023 présente une pleine valeur probante comme cela a été exposé ci-dessus (cf. supra consid. 4.7), étaient connus lors de l’enquête ménagère, dont le rapport y relatif mentionne clairement la spondylarthropathie, la fibromyalgie ainsi que les vertiges chroniques. Il est ainsi erroné de prétendre que la situation prévalant lors de l’enquête ménagère ne serait pas représentative de celle au moment du prononcé de la décision litigieuse. Quant aux limitations fonctionnelles retenues par les experts et le SMR</w:t>
      </w:r>
    </w:p>
    <w:p>
      <w:r>
        <w:t>- 20 - (position de travail alternée, port de charges limité à 5 kg, pas de travaux lourds, marche limitée, pas de mouvements en porte-à-faux du dos, pas de position statique immobile au-delà d’une heure), elles ressortent également du rapport d’enquête du 13 août 2021. A titre d’exemples, l’enquêteur a retenu des empêchements pour effectuer les grands nettoyages de la cuisine (four, réfrigérateur, congélateur, armoires de cuisine, lampes et autres appareils) ainsi que les nettoyages à fond du logement (fenêtres, rideaux, stores/volets, abat-jours, encadrements de porte, murs, armoires, balcon/terrasse, cheminée, fourneau), ce qui correspond à des travaux lourds, de même que des empêchements à porter des charges de plus de 5 kg, par exemple la corbeille de linge. S’agissant du repassage, qui peut impliquer une position statique au-delà d’une heure, l’enquêteur a noté que l’assurée pouvait le faire, mais par tranche. S’il est ainsi vrai que les limitations fonctionnelles présentées par l’intéressée l’empêchent d’effectuer certaines tâches ménagères, il est en revanche erroné de prétendre que l’enquêteur spécialisé n’en aurait pas tenu compte dans son rapport et qu’aucune tâche ménagère ne serait réalisable. Il est à cet égard rappelé que la personne qui s’occupe du ménage doit faire tout ce qui est raisonnablement exigible de sa part pour réduire son dommage, par exemple en répartissant mieux son travail ou en faisant des pauses (cf. supra consid. 5.4). Le rapport d’enquête ménagère a en outre été établi par un enquêteur qualifié qui s’est déplacé au domicile de l’assurée et s’est entretenu avec cette dernière. L’enquêteur a rapporté de manière précise les déclarations de l’assurée concernant les diverses rubriques du catalogue d’activités et a également indiqué de manière détaillée quelles étaient les personnes qui vivaient dans le ménage et dans quelle mesure une aide pouvait ou non être exigée d’elles. A cet égard, la recourante perd de vue que, dans le cadre de l'évaluation de l'invalidité dans les travaux habituels, l'aide des membres de la famille (en particulier celle des enfants) va au-delà de ce qu'on peut attendre de ceux-ci si la personne assurée n'est pas atteinte dans sa santé. Ainsi, il n’est pas arbitraire de retenir une aide importante de la part du mari, quand bien même celui-ci travaille à temps plein, ainsi qu’une aide moyenne de la part de la fille qui, s’il est vrai qu’elle est étudiante et ne vit plus à la maison durant la semaine, rentre le weekend au domicile familiale. Ce qui précède vaut d’autant plus que cela correspond à la réalité telle que vécue par la famille. En effet, l’intéressée a expliqué à l’enquêteur que son mari frottait la baignoire, s’occupait des travaux de jardinage et d’entretien des plantes, se chargeait de l’entretien de la maison et de l’extérieur (ordre dans les locaux annexes, éliminations des déchets et du papier, balayage autour de la maison, service hivernal, chauffage), s’occupait des courses et des démarches officielles ainsi que de celles auprès de la poste et de la</w:t>
      </w:r>
    </w:p>
    <w:p>
      <w:r>
        <w:t>- 21 - banque et qu’il transportait la corbeille de linge, tandis que ses enfants passaient l’aspirateur et la serpillère une fois par semaine et rangeaient leur linge dans les armoires. Au vu de la jurisprudence susmentionnée (cf. supra consid. 5.4), cette aide des membres de la famille vivant dans le foyer ne saurait être considérée comme démesurée ou arbitraire, étant précisé qu’aucune aide n’a été retenue de la part du fils de l’intéressée en raison de son jeune âge. Partant, la Cour de céans retient que le rapport d’enquête pour ménagères et mixtes du 13 août 2021 présente une pleine valeur probante et que l’incapacité ménagère de 26.81% qui y est constatée est correcte, de même que le taux de réduction de 30%, si bien que le taux d’invalidité à retenir pour la part ménagère est nul et qu’il n’y a pas lieu de diligenter une nouvelle enquête pour ménagères et mixtes.</w:t>
      </w:r>
    </w:p>
    <w:p>
      <w:r>
        <w:rPr>
          <w:b/>
        </w:rPr>
        <w:t>E. 5.6</w:t>
      </w:r>
    </w:p>
    <w:p>
      <w:r>
        <w:t>Mal fondé, ce grief doit également être rejeté.</w:t>
      </w:r>
    </w:p>
    <w:p>
      <w:r>
        <w:rPr>
          <w:b/>
        </w:rPr>
        <w:t>E. 6</w:t>
      </w:r>
    </w:p>
    <w:p>
      <w:r>
        <w:t>Dans un dernier grief, la recourante conteste le calcul du revenu d’invalide effectué par l’intimé, motif pris que ce dernier aurait dû tenir compte d’un abattement de 25% sur le salaire statistique en raison des limitations fonctionnelles qu’elle présente, de son âge, de l’absence de rapport de travail depuis plus de cinq ans, de ses vertiges ainsi que de ses douleurs incessantes.</w:t>
      </w:r>
    </w:p>
    <w:p>
      <w:r>
        <w:rPr>
          <w:b/>
        </w:rPr>
        <w:t>E. 6.1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rPr>
          <w:b/>
        </w:rPr>
        <w:t>E. 6.1.1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 l’employeur ou, à défaut, sur l’évolution des salaires nominaux (arrêt du Tribunal fédéral 9C_192/2014 du 23 septembre 2014 consid. 4.2).</w:t>
      </w:r>
    </w:p>
    <w:p>
      <w:r>
        <w:t>- 22 -</w:t>
      </w:r>
    </w:p>
    <w:p>
      <w:r>
        <w:rPr>
          <w:b/>
        </w:rPr>
        <w:t>E. 6.1.2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 3.3 et 4.3 et 9C_843/2015 du 7 avril 2016 consid. 5.2).</w:t>
      </w:r>
    </w:p>
    <w:p>
      <w:r>
        <w:rPr>
          <w:b/>
        </w:rPr>
        <w:t>E. 6.2</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148 V 174 consid. 6.3 ;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w:t>
      </w:r>
    </w:p>
    <w:p>
      <w:r>
        <w:rPr>
          <w:b/>
        </w:rPr>
        <w:t>E. 6.3</w:t>
      </w:r>
    </w:p>
    <w:p>
      <w:r>
        <w:t>En l’occurrence, il a été établi ci-dessus que, dès le mois de décembre 2020, la recourante disposait d’une capacité fonctionnelle de 80%, soit un taux équivalent à celui qu’elle aurait exercé en bonne santé, dans une activité adaptée (position de travail alternée, port de charges limité à 5 kg, pas de travaux lourds, marche limitée, pas de</w:t>
      </w:r>
    </w:p>
    <w:p>
      <w:r>
        <w:t>- 23 - mouvements en porte-à-faux du dos, pas de position statique immobile au-delà d’une heure) correspondant aux activités habituelles de l’intéressée à l’exception du service traiteur et de la livraison de catalogue à domicile (cf. supra consid. 4.7). Dès lors que l’assurée ne présentait aucune invalidité dans la sphère professionnelle, c’est à juste titre que l’OAI n’a procédé à aucun calcul du revenu d’invalide et, partant, n’a pas appliqué d’abattement sur le salaire statistique.</w:t>
      </w:r>
    </w:p>
    <w:p>
      <w:r>
        <w:rPr>
          <w:b/>
        </w:rPr>
        <w:t>E. 7</w:t>
      </w:r>
    </w:p>
    <w:p>
      <w:r>
        <w:t>Eu égard à ce qui précède, c’est à juste titre que l’OAI a retenu que l’invalidité de la recourante était nulle tant dans la sphère ménagère que dans la sphère professionnelle, si bien que son taux d’invalidité tenant compte de ces deux domaines d’activité était nul, soit un taux inférieur à 40%, respectivement à 20%, ne donnant droit ni à une rente d’invalidité ni à des mesures d’ordre professionnel. Entièrement mal fondé, le recours doit être rejeté et la décision entreprise du 17 août 2023 confirmée.</w:t>
      </w:r>
    </w:p>
    <w:p>
      <w:r>
        <w:rPr>
          <w:b/>
        </w:rPr>
        <w:t>E. 8</w:t>
      </w:r>
    </w:p>
    <w:p>
      <w:r>
        <w:t>Les frais de justice, arrêtés à 500 fr. en fonction de la difficulté moyenne de la cause, sont mis à charge de la recourante et prélevés sur l’avance déjà versée (art. 69 al. 1bis LAI). Eu égard à l’issue de la cause, il n’y a pas lieu d’allouer de dépens (art. 61 let. g LPGA a contrario). Prononce</w:t>
      </w:r>
    </w:p>
    <w:p>
      <w:r>
        <w:t>1. Le recours est rejeté. 2. Les frais, par 500 francs, sont mis à la charge de X _________. 3. Il n’est pas alloué de dépens. Sion, le 4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